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天津市残疾人联合会</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天津市残疾人联合会</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具有代表、服务、管理三种职能：代表残疾人共同利益，维护残疾人合法权益；团结帮助残疾人，为残疾人服务；履行法律赋予的职责，承担政府委托的任务，管理和发展残疾人事业</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天津市残疾人联合会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部门本级（内设5个职能处室）和4个所属预算单位（不含本级），具体构成如下：</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1.天津市残疾人联合会（本级）</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2.天津市残疾人康复服务指导中心</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3.天津市残疾人社会保障和就业服务中心</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4.天津市残疾人综合服务中心</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5.天津市残疾人文艺体育训练指导中心。</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天津市残疾人联合会</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163885295.78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6171757.00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531168.00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131675620.57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40749570.09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9783343.43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6171757.00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122600.00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180371564.21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178719547.66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1277210.14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1478663.77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8064820.41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9515383.33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73617.71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7991202.70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189713594.76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189713594.76</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天津市残疾人联合会</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180371564.21</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170057052.78</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531168.00</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9783343.43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133324496.07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123009984.64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531168.00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9783343.43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5274898.64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5274898.64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3475765.76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3475765.76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1799132.88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1799132.88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残疾人事业</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127621081.03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117306569.60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531168.00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9783343.43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15308554.75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15246566.91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61987.84</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2081104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残疾人康复</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36794617.26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28954339.60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531168.00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7309109.66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2081105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残疾人就业</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12601604.01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12086908.53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514695.48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2081106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残疾人体育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37285577.09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36701211.58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584365.51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其他残疾人事业支出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25630727.92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24317542.98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1313184.94</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428516.40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428516.40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2089999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428516.40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428516.40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40752711.14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40752711.14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2573711.14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2573711.14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731721.00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731721.00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1661364.70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1661364.70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139375.14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139375.14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41250.30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41250.30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医疗救助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38179000.00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38179000.00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2101399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其他医疗救助支出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38179000.00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38179000.00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6171757.00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6171757.00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22960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彩票公益金安排的支出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6171757.00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6171757.00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2296003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用于体育事业的彩票公益金支出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284888.00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284888.00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2296006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用于残疾人事业的彩票公益金支出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5886869.00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5886869.00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122600.00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122600.00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122600.00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122600.00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122600.00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122600.00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天津市残疾人联合会</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189713594.76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180371564.21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163885295.78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6171757.00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531168.00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9783343.43</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563201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天津市残疾人康复服务指导中心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44504808.79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39809295.27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31857417.61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111600.00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531168.00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7309109.66</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563205</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天津市残疾人文艺体育训练指导中心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33312115.71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33236392.71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32367139.20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284888.00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584365.51</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563210</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天津市残疾人社会保障和就业服务中心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19664281.19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18467507.93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14156283.45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3796529.00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514695.48</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563211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天津市残疾人综合服务中心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18247777.85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17964936.05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16651751.11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1313184.94</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563301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天津市残疾人联合会（本级）</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73984611.22</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70893432.25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68852704.41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1978740.00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61987.84</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天津市残疾人联合会</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9342030.55</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73617.71</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73617.71</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9268412.84</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9268412.84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563201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天津市残疾人康复服务指导中心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4695513.52</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4695513.52</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4695513.52</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563205</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天津市残疾人文艺体育训练指导中心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75723.00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73617.71</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73617.71</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2105.29</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2105.29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563210</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天津市残疾人社会保障和就业服务中心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1196773.26</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1196773.26</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1196773.26</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563211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天津市残疾人综合服务中心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282841.80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282841.80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282841.80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563301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天津市残疾人联合会（本级）</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3091178.97</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3091178.97</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3091178.97</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天津市残疾人联合会</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178719547.66</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64794052.19</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113925495.47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131675620.57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62223482.10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69452138.47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5274898.64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5274898.64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3475765.76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3475765.76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1799132.88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1799132.88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残疾人事业</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125972205.53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56948583.46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69023622.07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15248200.08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15248200.08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2081104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残疾人康复</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34289806.51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14661014.63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19628791.88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2081105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残疾人就业</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13262921.43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9831021.93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3431899.50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2081106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残疾人体育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37265365.94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7656334.20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29609031.74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其他残疾人事业支出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25905911.57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9552012.62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16353898.95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428516.40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428516.40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2089999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428516.40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428516.40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40749570.09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2570570.09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38179000.00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2570570.09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2570570.09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731721.00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731721.00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1658223.65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1658223.65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139375.14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139375.14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41250.30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41250.30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医疗救助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38179000.00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38179000.00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2101399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其他医疗救助支出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38179000.00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38179000.00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6171757.00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6171757.00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22960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彩票公益金安排的支出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6171757.00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6171757.00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2296003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用于体育事业的彩票公益金支出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284888.00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284888.00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2296006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用于残疾人事业的彩票公益金支出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5886869.00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5886869.00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122600.00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122600.00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23203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地方政府一般债务付息支出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122600.00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122600.00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2320301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地方政府一般债券付息支出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122600.00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122600.00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天津市残疾人联合会</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163885295.78</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6171757.00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123083602.35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123083602.35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40749570.09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40749570.09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6171757.00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6171757.00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122600.00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122600.00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170057052.78</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170127529.44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163955772.44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6171757.00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73617.71</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3141.05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3141.05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73617.71</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170130670.49</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170130670.49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163958913.49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6171757.00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天津市残疾人联合会</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163955772.44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58724662.06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52922183.00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5802479.06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105231110.38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123083602.35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56154091.97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50351612.91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5802479.06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66929510.38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5274898.64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5274898.64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5274898.64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3475765.76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3475765.76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3475765.76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1799132.88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1799132.88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1799132.88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残疾人事业</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117380187.31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50879193.33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45076714.27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5802479.06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66500993.98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15246566.91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15246566.91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13550879.80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1695687.11</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2081104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残疾人康复</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28954339.60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11790084.81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10393981.22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1396103.59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17164254.79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2081105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残疾人就业</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12086908.53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8655009.03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7693727.50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961281.53</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3431899.50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2081106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残疾人体育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36774829.29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7223888.55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6336687.38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887201.17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29550940.74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其他残疾人事业支出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24317542.98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7963644.03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7101438.37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862205.66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16353898.95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428516.40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428516.40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2089999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428516.40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428516.40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40749570.09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2570570.09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2570570.09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38179000.00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2570570.09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2570570.09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2570570.09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731721.00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731721.00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731721.00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1658223.65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1658223.65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1658223.65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139375.14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139375.14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139375.14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41250.30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41250.30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41250.30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医疗救助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38179000.00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38179000.00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2101399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其他医疗救助支出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38179000.00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38179000.00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232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23203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地方政府一般债务付息支出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2320301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地方政府一般债券付息支出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天津市残疾人联合会</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51914416.80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5673590.58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11193189.56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410829.15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128888.48</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6536859.20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107450.60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3958062.00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1121.03</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128888.48</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47240.51</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8679598.42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532179.06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3475765.76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191999.62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1799132.88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416350.40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2339891.44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264891.94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139375.14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147512.87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201028.95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11932063.00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128868.65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41250.30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19600.00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1618200.15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1007766.20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89555.11</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23295.00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946406.20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28600.00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3324.00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313400.00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661000.00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597351.20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840.00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164207.55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707600.00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31920.00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845813.89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52922183.00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5802479.06</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天津市残疾人联合会</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6171757.00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6171757.00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6171757.00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6171757.00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6171757.00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6171757.00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22960</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彩票公益金安排的支出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6171757.00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6171757.00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6171757.00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2296003</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用于体育事业的彩票公益金支出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284888.00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284888.00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284888.00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2296006</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用于残疾人事业的彩票公益金支出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5886869.00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5886869.00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5886869.00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天津市残疾人联合会</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天津市残疾人联合会2025年度国有资本经营预算财政拨款收入支出决算表为空表。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天津市残疾人联合会</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187502.55</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164207.55</w:t>
            </w: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164207.55</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23295.00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天津市残疾人联合会</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113925495.47</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105231110.38</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6171757.00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2522628.09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69452138.47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66929510.38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2522628.09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20811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残疾人事业</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69023622.07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66500993.98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2522628.09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2081104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残疾人康复</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19628791.88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17164254.79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2464537.09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2081105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残疾人就业</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3431899.50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3431899.50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2081106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残疾人体育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29609031.74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29550940.74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58091.00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2081199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其他残疾人事业支出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16353898.95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16353898.95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428516.40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428516.40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428516.40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428516.40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38179000.00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38179000.00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医疗救助</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38179000.00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38179000.00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2101399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其他医疗救助支出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38179000.00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38179000.00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6171757.00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6171757.00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22960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彩票公益金安排的支出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6171757.00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6171757.00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2296003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用于体育事业的彩票公益金支出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284888.00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284888.00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2296006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用于残疾人事业的彩票公益金支出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5886869.00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5886869.00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122600.00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122600.00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地方政府一般债务付息支出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122600.00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122600.00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地方政府一般债券付息支出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122600.00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122600.00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天津市残疾人联合会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189,713,594.76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增加68,859,614.82元，增长56.98%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增加了其他重度残疾人医疗救助资金、天津市残疾人康复服务指导中心改扩建工程、天津市残疾人综合服务园区提升改造等项目经费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一般公共预算财政拨款收入163,885,295.78元、政府性基金预算财政拨款收入6,171,757.00元、事业收入531,168.00元、其他收入9,783,343.43元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社会保障和就业支出131,675,620.57元、卫生健康支出40,749,570.09元、其他支出6,171,757.00元、债务付息支出122,600.00元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天津市残疾人联合会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180,371,564.21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增加66,475,498.63元，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增加了其他重度残疾人医疗救助资金、天津市残疾人康复服务指导中心改扩建工程、天津市残疾人综合服务园区提升改造等项目经费收入</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一般公共预算财政拨款收入163,885,295.78元，占90.86%；政府性基金预算财政拨款收入6,171,757.00元，占3.43%；事业收入531,168.00元，占0.29%；其他收入9,783,343.43元，占5.42%</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天津市残疾人联合会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178,719,547.66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增加69,871,842.29元，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增加了其他重度残疾人医疗救助资金、天津市残疾人康复服务指导中心改扩建工程、天津市残疾人综合服务园区提升改造等项目经费支出</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基本支出64,794,052.19元，占36.25%；项目支出113,925,495.47元，占63.75%</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天津市残疾人联合会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170,130,670.49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增加70,133,516.40元，增长70.14%，</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增加了其他重度残疾人医疗救助资金、天津市残疾人康复服务指导中心改扩建工程、天津市残疾人综合服务园区提升改造等项目经费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一般公共预算财政拨款163,885,295.78元、政府性基金预算财政拨款6,171,757.00元、年初财政拨款结转和结余73,617.71元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社会保障和就业支出123,083,602.35元、卫生健康支出40,749,570.09元、其他支出6,171,757.00元、债务付息支出122,600.00元、年末财政拨款结转和结余3,141.05元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天津市残疾人联合会2025年度一般公共预算财政拨款支出合计163,955,772.44元，占本年支出合计的91.74%。与2024年度相比，一般公共预算财政拨款支出</w:t>
      </w:r>
      <w:r>
        <w:rPr>
          <w:rFonts w:eastAsia="仿宋_GB2312" w:hint="eastAsia"/>
          <w:sz w:val="30"/>
          <w:szCs w:val="30"/>
          <w:highlight w:val="none"/>
          <w:lang w:val="en-US" w:eastAsia="zh-CN"/>
        </w:rPr>
        <w:t xml:space="preserve">增加66,768,063.46元</w:t>
      </w:r>
      <w:r>
        <w:rPr>
          <w:rFonts w:eastAsia="仿宋_GB2312" w:hint="eastAsia"/>
          <w:sz w:val="30"/>
          <w:szCs w:val="30"/>
          <w:highlight w:val="none"/>
          <w:lang w:val="en-US" w:eastAsia="zh-CN"/>
        </w:rPr>
        <w:t xml:space="preserve">，增长68.70%</w:t>
      </w:r>
      <w:r>
        <w:rPr>
          <w:rFonts w:eastAsia="仿宋_GB2312" w:hint="eastAsia"/>
          <w:sz w:val="30"/>
          <w:szCs w:val="30"/>
          <w:highlight w:val="none"/>
          <w:lang w:val="en-US" w:eastAsia="zh-CN"/>
        </w:rPr>
        <w:t xml:space="preserve">，主要原因是增加了其他重度残疾人医疗救助资金、天津市残疾人康复服务指导中心改扩建工程等项目经费。</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2025年度一般公共预算财政拨款支出163,955,772.44元，主要用于以下方面：</w:t>
      </w:r>
      <w:r>
        <w:rPr>
          <w:rFonts w:eastAsia="仿宋_GB2312" w:hint="eastAsia"/>
          <w:sz w:val="30"/>
          <w:szCs w:val="30"/>
          <w:highlight w:val="none"/>
        </w:rPr>
        <w:t xml:space="preserve">社会保障和就业支出（类）支出123,083,602.35元，占75.07%，卫生健康支出（类）支出40,749,570.09元，占24.85%，债务付息支出（类）支出122,600.00元，占0.08%</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2025年度一般公共预算财政拨款支出年初预算为123,036,600.00元，支出决算为163,955,772.44元</w:t>
      </w:r>
      <w:r>
        <w:rPr>
          <w:rFonts w:eastAsia="仿宋_GB2312" w:hint="eastAsia"/>
          <w:sz w:val="30"/>
          <w:szCs w:val="30"/>
          <w:highlight w:val="none"/>
          <w:lang w:val="en-US" w:eastAsia="zh-CN"/>
        </w:rPr>
        <w:t xml:space="preserve">，完成年初预算的133.26%</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3,541,000.00元，支出决算为3,475,765.76元，完成年初预算的98.16%，决算数小于年初预算数的主要原因是：根据人员变动和养老保险缴存情况据实调整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1,771,000.00元，支出决算为1,799,132.88元，完成年初预算的101.59%，决算数大于年初预算数的主要原因是：根据人员变动和职业年金缴存情况据实调整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残疾人事业（款）行政运行（项）年初预算为14,855,000.00元，支出决算为15,246,566.91元，完成年初预算的102.64%，决算数大于年初预算数的主要原因是：根据工资结构调整情况据实列支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残疾人事业（款）残疾人康复（项）年初预算为25,618,000.00元，支出决算为28,954,339.60元，完成年初预算的113.02%，决算数大于年初预算数的主要原因是：年中追加天津市残疾人康复服务指导中心改扩建工程项目前期工作经费和天津市残疾人康复服务指导中心改扩建工程项目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社会保障和就业支出（类）残疾人事业（款）残疾人就业（项）年初预算为11,209,000.00元，支出决算为12,086,908.53元，完成年初预算的107.83%，决算数大于年初预算数的主要原因是：根据业务开展和人员变动情况据实调整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社会保障和就业支出（类）残疾人事业（款）残疾人体育（项）年初预算为39,234,000.00元，支出决算为36,774,829.29元，完成年初预算的93.73%，决算数小于年初预算数的主要原因是：根据业务开展和人员变动情况据实调整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社会保障和就业支出（类）残疾人事业（款）其他残疾人事业支出（项）年初预算为23,744,000.00元，支出决算为24,317,542.98元，完成年初预算的102.42%，决算数大于年初预算数的主要原因是：根据业务开展和人员变动情况据实调整经费支出，同时年中追加天津市残联“高效办成一件事”信息系统升级改造项目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社会保障和就业支出（类）其他社会保障和就业支出（款）其他社会保障和就业支出（项）年初预算为0.00元，支出决算为428,516.40元，决算数大于年初预算数的主要原因是：年中追加职工去世抚恤金项目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卫生健康支出（类）行政事业单位医疗（款）行政单位医疗（项）年初预算为796,000.00元，支出决算为731,721.00元，完成年初预算的91.92%，决算数小于年初预算数的主要原因是：根据人员变动和医疗保险缴存情况据实调整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10.卫生健康支出（类）行政事业单位医疗（款）事业单位医疗（项）年初预算为1,529,000.00元，支出决算为1,658,223.65元，完成年初预算的108.45%，决算数大于年初预算数的主要原因是：根据人员变动和医疗保险缴存情况据实调整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11.卫生健康支出（类）行政事业单位医疗（款）公务员医疗补助（项）年初预算为152,000.00元，支出决算为139,375.14元，完成年初预算的91.69%，决算数小于年初预算数的主要原因是：根据人员变动和医疗保险缴存情况据实调整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12.卫生健康支出（类）行政事业单位医疗（款）其他行政事业单位医疗支出（项）年初预算为586,000.00元，支出决算为41,250.30元，完成年初预算的7.04%，决算数小于年初预算数的主要原因是：根据人员实际情况据实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13.卫生健康支出（类）医疗救助（款）其他医疗救助支出（项）年初预算为0.00元，支出决算为38,179,000.00元，决算数大于年初预算数的主要原因是：年中追加其他重度残疾人医疗救助资金项目经费支出。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14.债务付息支出（类）地方政府一般债务付息支出（款）地方政府一般债券付息支出（项）年初预算为1,600.00元，支出决算为122,600.00元，完成年初预算的7662.50%，决算数大于年初预算数的主要原因是：年中追加天津市残疾人康复服务指导中心改扩建工程一般债券付息项目经费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天津市残疾人联合会2025年度一般公共预算财政拨款基本支出合计58,724,662.06元，与2024年度相比</w:t>
      </w:r>
      <w:r>
        <w:rPr>
          <w:rFonts w:eastAsia="仿宋_GB2312" w:hint="eastAsia"/>
          <w:sz w:val="30"/>
          <w:szCs w:val="30"/>
          <w:highlight w:val="none"/>
          <w:lang w:val="en-US" w:eastAsia="zh-CN"/>
        </w:rPr>
        <w:t xml:space="preserve">增加5,111,300.45元，</w:t>
      </w:r>
      <w:r>
        <w:rPr>
          <w:rFonts w:eastAsia="仿宋_GB2312" w:hint="eastAsia"/>
          <w:sz w:val="30"/>
          <w:szCs w:val="30"/>
          <w:highlight w:val="none"/>
          <w:lang w:val="en-US" w:eastAsia="zh-CN"/>
        </w:rPr>
        <w:t xml:space="preserve">主要原因是人员变动和工资结构调整。</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人员经费52,922,183.00元，主要包括</w:t>
      </w:r>
      <w:r>
        <w:rPr>
          <w:rFonts w:eastAsia="仿宋_GB2312" w:hint="eastAsia"/>
          <w:sz w:val="30"/>
          <w:szCs w:val="30"/>
          <w:highlight w:val="none"/>
          <w:lang w:val="en-US" w:eastAsia="zh-CN"/>
        </w:rPr>
        <w:t xml:space="preserve">基本工资、津贴补贴、奖金、绩效工资、机关事业单位基本养老保险缴费、职业年金缴费、职工基本医疗保险缴费、公务员医疗补助缴费、其他社会保障缴费、住房公积金、医疗费、其他工资福利支出、退休费、生活补助、奖励金、其他对个人和家庭的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公用经费5,802,479.06元，主要包括</w:t>
      </w:r>
      <w:r>
        <w:rPr>
          <w:rFonts w:eastAsia="仿宋_GB2312" w:hint="eastAsia"/>
          <w:sz w:val="30"/>
          <w:szCs w:val="30"/>
          <w:highlight w:val="none"/>
          <w:lang w:val="en-US" w:eastAsia="zh-CN"/>
        </w:rPr>
        <w:t xml:space="preserve">办公费、印刷费、手续费、水费、电费、邮电费、取暖费、物业管理费、差旅费、维修(护)费、租赁费、培训费、公务接待费、劳务费、委托业务费、工会经费、福利费、公务用车运行维护费、其他交通费用、其他商品和服务支出、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楷体" w:hint="eastAsia"/>
          <w:b/>
          <w:bCs/>
          <w:sz w:val="30"/>
          <w:szCs w:val="30"/>
          <w:highlight w:val="none"/>
          <w:lang w:val="en-US" w:eastAsia="zh-CN"/>
        </w:rPr>
      </w:pPr>
      <w:r>
        <w:rPr>
          <w:rFonts w:ascii="楷体" w:eastAsia="楷体" w:hAnsi="楷体" w:cs="楷体" w:hint="eastAsia"/>
          <w:b/>
          <w:bCs/>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天津市残疾人联合会2025年度政府性基金预算财政拨款年初结转和结余0.00元，收入6,171,757.00元，支出6,171,757.00元，年末结转和结余0.00元。与2024年度相比，政府性基金预算财政拨款支出</w:t>
      </w:r>
      <w:r>
        <w:rPr>
          <w:rFonts w:eastAsia="仿宋_GB2312" w:hint="eastAsia"/>
          <w:sz w:val="30"/>
          <w:szCs w:val="30"/>
          <w:highlight w:val="none"/>
          <w:lang w:val="en-US" w:eastAsia="zh-CN"/>
        </w:rPr>
        <w:t xml:space="preserve">增加3,435,929.60元，</w:t>
      </w:r>
      <w:r>
        <w:rPr>
          <w:rFonts w:eastAsia="仿宋_GB2312" w:hint="eastAsia"/>
          <w:sz w:val="30"/>
          <w:szCs w:val="30"/>
          <w:highlight w:val="none"/>
          <w:lang w:val="en-US" w:eastAsia="zh-CN"/>
        </w:rPr>
        <w:t xml:space="preserve">增长125.59%，</w:t>
      </w:r>
      <w:r>
        <w:rPr>
          <w:rFonts w:eastAsia="仿宋_GB2312" w:hint="eastAsia"/>
          <w:sz w:val="30"/>
          <w:szCs w:val="30"/>
          <w:highlight w:val="none"/>
          <w:lang w:val="en-US" w:eastAsia="zh-CN"/>
        </w:rPr>
        <w:t xml:space="preserve">主要原因是年中追加天津市残疾人综合服务园区提升改造项目经费。</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2025年度政府性基金预算财政拨款支出6,171,757.00元，主要用于以下方面：</w:t>
      </w:r>
      <w:r>
        <w:rPr>
          <w:rFonts w:eastAsia="仿宋_GB2312" w:hint="eastAsia"/>
          <w:sz w:val="28"/>
          <w:szCs w:val="28"/>
          <w:highlight w:val="none"/>
        </w:rPr>
        <w:t xml:space="preserve">其他支出（类）支出6,171,757.00元，占100.00%</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2025年度政府性基金预算财政拨款支出年初预算为2,393,200.00元，支出决算为6,171,757.00元</w:t>
      </w:r>
      <w:r>
        <w:rPr>
          <w:rFonts w:eastAsia="仿宋_GB2312" w:hint="eastAsia"/>
          <w:sz w:val="30"/>
          <w:szCs w:val="30"/>
          <w:highlight w:val="none"/>
          <w:lang w:val="en-US" w:eastAsia="zh-CN"/>
        </w:rPr>
        <w:t xml:space="preserve">，完成年初预算的257.89%</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其他支出（类）彩票公益金安排的支出（款）用于体育事业的彩票公益金支出（项）年初预算为300,000.00元，支出决算为284,888.00元，完成年初预算的94.96%，决算数小于年初预算数的主要原因是：在保证年度任务和工作目标的前提下，厉行节约压减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其他支出（类）彩票公益金安排的支出（款）用于残疾人事业的彩票公益金支出（项）年初预算为2,093,200.00元，支出决算为5,886,869.00元，完成年初预算的281.24%，决算数大于年初预算数的主要原因是：年中追加天津市残疾人综合服务园区提升改造项目经费。</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天津市残疾人联合会2025年度无国有资本经营预算财政拨款收入、支出和结转结余。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270,000.00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187,502.55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减少82,497.45元</w:t>
      </w:r>
      <w:r>
        <w:rPr>
          <w:rFonts w:eastAsia="仿宋_GB2312" w:hint="eastAsia"/>
          <w:sz w:val="30"/>
          <w:szCs w:val="30"/>
          <w:highlight w:val="none"/>
          <w:lang w:val="en-US" w:eastAsia="zh-CN"/>
        </w:rPr>
        <w:t xml:space="preserve">，完成预算的69.45%</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支出决算较上年减少1,712.44元</w:t>
      </w:r>
      <w:r>
        <w:rPr>
          <w:rFonts w:eastAsia="仿宋_GB2312" w:hint="eastAsia"/>
          <w:sz w:val="30"/>
          <w:szCs w:val="30"/>
          <w:highlight w:val="none"/>
          <w:lang w:val="en-US" w:eastAsia="zh-CN"/>
        </w:rPr>
        <w:t xml:space="preserve">，下降0.91%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决算数小于预算数的主要原因是厉行节约，合理安排“三公”经费支出；</w:t>
      </w:r>
      <w:r>
        <w:rPr>
          <w:rFonts w:eastAsia="仿宋_GB2312" w:hint="eastAsia"/>
          <w:sz w:val="30"/>
          <w:szCs w:val="30"/>
          <w:highlight w:val="none"/>
          <w:lang w:val="en-US" w:eastAsia="zh-CN"/>
        </w:rPr>
        <w:t xml:space="preserve">决算数较上年减少的主要原因是厉行节约，深入贯彻过紧日子要求，进一步压减“三公”经费支出。</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支出决算较上年减少8,009.90元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决算数与预算数持平的主要原因是本年度未安排因公出国（境）任务；</w:t>
      </w:r>
      <w:r>
        <w:rPr>
          <w:rFonts w:eastAsia="仿宋_GB2312" w:hint="eastAsia"/>
          <w:sz w:val="30"/>
          <w:szCs w:val="30"/>
          <w:highlight w:val="none"/>
          <w:lang w:val="en-US" w:eastAsia="zh-CN"/>
        </w:rPr>
        <w:t xml:space="preserve">决算数较上年减少的主要原因是本年度未用财政拨款经费列支因公出国（境）费。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210,000.00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164,207.55</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减少45,792.45元</w:t>
      </w:r>
      <w:r>
        <w:rPr>
          <w:rFonts w:eastAsia="仿宋_GB2312" w:hint="eastAsia"/>
          <w:sz w:val="30"/>
          <w:szCs w:val="30"/>
          <w:highlight w:val="none"/>
          <w:lang w:val="en-US" w:eastAsia="zh-CN"/>
        </w:rPr>
        <w:t xml:space="preserve">，完成预算的78.19%</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支出决算较上年减少1,870.54元</w:t>
      </w:r>
      <w:r>
        <w:rPr>
          <w:rFonts w:eastAsia="仿宋_GB2312" w:hint="eastAsia"/>
          <w:sz w:val="30"/>
          <w:szCs w:val="30"/>
          <w:highlight w:val="none"/>
          <w:lang w:val="en-US" w:eastAsia="zh-CN"/>
        </w:rPr>
        <w:t xml:space="preserve">，下降1.13%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决算数小于预算数的主要原因是厉行节约，压减经费开支，合理安排公车使用；</w:t>
      </w:r>
      <w:r>
        <w:rPr>
          <w:rFonts w:eastAsia="仿宋_GB2312" w:hint="eastAsia"/>
          <w:sz w:val="30"/>
          <w:szCs w:val="30"/>
          <w:highlight w:val="none"/>
          <w:lang w:val="en-US" w:eastAsia="zh-CN"/>
        </w:rPr>
        <w:t xml:space="preserve">决算数较上年减少的主要原因是深入贯彻过紧日子要求，严控公务用车支出。</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210,000.00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164,207.55</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减少45,792.45元</w:t>
      </w:r>
      <w:r>
        <w:rPr>
          <w:rFonts w:eastAsia="仿宋_GB2312" w:hint="eastAsia"/>
          <w:sz w:val="30"/>
          <w:szCs w:val="30"/>
          <w:highlight w:val="none"/>
          <w:lang w:val="en-US" w:eastAsia="zh-CN"/>
        </w:rPr>
        <w:t xml:space="preserve">，完成预算的78.19%</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支出决算较上年减少1,870.54元</w:t>
      </w:r>
      <w:r>
        <w:rPr>
          <w:rFonts w:eastAsia="仿宋_GB2312" w:hint="eastAsia"/>
          <w:sz w:val="30"/>
          <w:szCs w:val="30"/>
          <w:highlight w:val="none"/>
          <w:lang w:val="en-US" w:eastAsia="zh-CN"/>
        </w:rPr>
        <w:t xml:space="preserve">，下降1.13%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决算数小于预算数的主要原因是厉行节约，压减经费开支，合理安排公车使用；</w:t>
      </w:r>
      <w:r>
        <w:rPr>
          <w:rFonts w:eastAsia="仿宋_GB2312" w:hint="eastAsia"/>
          <w:sz w:val="30"/>
          <w:szCs w:val="30"/>
          <w:highlight w:val="none"/>
          <w:lang w:val="en-US" w:eastAsia="zh-CN"/>
        </w:rPr>
        <w:t xml:space="preserve">决算数较上年减少的主要原因是深入贯彻过紧日子要求，严控公务用车运行维护费支出。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9</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其中：2辆为机关事务管理局所有。</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60,000.00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23,295.00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减少36,705.00元</w:t>
      </w:r>
      <w:r>
        <w:rPr>
          <w:rFonts w:eastAsia="仿宋_GB2312" w:hint="eastAsia"/>
          <w:sz w:val="30"/>
          <w:szCs w:val="30"/>
          <w:highlight w:val="none"/>
          <w:lang w:val="en-US" w:eastAsia="zh-CN"/>
        </w:rPr>
        <w:t xml:space="preserve">，完成预算的38.83%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支出决算较上年增加8,168.00元</w:t>
      </w:r>
      <w:r>
        <w:rPr>
          <w:rFonts w:eastAsia="仿宋_GB2312" w:hint="eastAsia"/>
          <w:sz w:val="30"/>
          <w:szCs w:val="30"/>
          <w:highlight w:val="none"/>
          <w:lang w:val="en-US" w:eastAsia="zh-CN"/>
        </w:rPr>
        <w:t xml:space="preserve">，增长54.00%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决算数小于预算数的主要原因是厉行节约，合理安排公务接待活动，严控公务接待费支出；</w:t>
      </w:r>
      <w:r>
        <w:rPr>
          <w:rFonts w:eastAsia="仿宋_GB2312" w:hint="eastAsia"/>
          <w:sz w:val="30"/>
          <w:szCs w:val="30"/>
          <w:highlight w:val="none"/>
          <w:lang w:val="en-US" w:eastAsia="zh-CN"/>
        </w:rPr>
        <w:t xml:space="preserve">决算数较上年增加的主要原因是本年度增加澳门智力残疾人亲属团的外事接待任务。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10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80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33</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市残疾人联合会2025年度机关运行经费年初预算2,057,000.00元，决算数1,695,687.11元，与年初预算相比</w:t>
      </w:r>
      <w:r>
        <w:rPr>
          <w:rFonts w:eastAsia="仿宋_GB2312" w:hint="eastAsia"/>
          <w:sz w:val="30"/>
          <w:szCs w:val="30"/>
          <w:highlight w:val="none"/>
          <w:lang w:val="en-US" w:eastAsia="zh-CN"/>
        </w:rPr>
        <w:t xml:space="preserve">减少361,312.89元，</w:t>
      </w:r>
      <w:r>
        <w:rPr>
          <w:rFonts w:eastAsia="仿宋_GB2312" w:hint="eastAsia"/>
          <w:sz w:val="30"/>
          <w:szCs w:val="30"/>
          <w:highlight w:val="none"/>
          <w:lang w:val="en-US" w:eastAsia="zh-CN"/>
        </w:rPr>
        <w:t xml:space="preserve">完成年初预算的82.43%；</w:t>
      </w:r>
      <w:r>
        <w:rPr>
          <w:rFonts w:eastAsia="仿宋_GB2312" w:hint="eastAsia"/>
          <w:sz w:val="30"/>
          <w:szCs w:val="30"/>
          <w:highlight w:val="none"/>
          <w:lang w:val="en-US" w:eastAsia="zh-CN"/>
        </w:rPr>
        <w:t xml:space="preserve">比2024年减少20,226.29元</w:t>
      </w:r>
      <w:r>
        <w:rPr>
          <w:rFonts w:eastAsia="仿宋_GB2312" w:hint="eastAsia"/>
          <w:sz w:val="30"/>
          <w:szCs w:val="30"/>
          <w:highlight w:val="none"/>
          <w:lang w:val="en-US" w:eastAsia="zh-CN"/>
        </w:rPr>
        <w:t xml:space="preserve">，下降1.18%</w:t>
      </w:r>
      <w:r>
        <w:rPr>
          <w:rFonts w:eastAsia="仿宋_GB2312" w:hint="eastAsia"/>
          <w:sz w:val="30"/>
          <w:szCs w:val="30"/>
          <w:highlight w:val="none"/>
          <w:lang w:val="en-US" w:eastAsia="zh-CN"/>
        </w:rPr>
        <w:t xml:space="preserve">。主要原因是：厉行节约，深入贯彻过紧日子要求，压减经费开支。</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残疾人联合会2025年政府采购支出总额30,800,694.20元，其中：政府采购货物支出6,348,924.70元、政府采购工程支出3,548,867.00元、政府采购服务支出20,902,902.50元。授予中小企业合同金额28,140,694.20元，占政府采购支出总额的91.36%，其中：授予小微企业合同金额22,456,194.20元，占政府采购支出总额的72.91%；货物采购授予中小企业合同金额占货物支出金额的100.00%，工程采购授予中小企业合同金额占工程支出金额的100.00%，服务采购授予中小企业合同金额占服务支出金额的87.27%。</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截至2025年12月31日，天津市残疾人联合会共有车辆8辆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特种专业技术用车3辆、其他用车5辆</w:t>
      </w:r>
      <w:r>
        <w:rPr>
          <w:rFonts w:eastAsia="仿宋_GB2312" w:hint="eastAsia"/>
          <w:sz w:val="30"/>
          <w:szCs w:val="30"/>
          <w:highlight w:val="none"/>
          <w:lang w:val="en-US" w:eastAsia="zh-CN"/>
        </w:rPr>
        <w:t xml:space="preserve">，其他用车主要包括一般公务用车</w:t>
      </w:r>
      <w:r>
        <w:rPr>
          <w:rFonts w:eastAsia="仿宋_GB2312" w:hint="eastAsia"/>
          <w:sz w:val="30"/>
          <w:szCs w:val="30"/>
          <w:highlight w:val="none"/>
          <w:lang w:val="en-US" w:eastAsia="zh-CN"/>
        </w:rPr>
        <w:t xml:space="preserve">。单价100万元以上的设备2台（套）。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根据预算绩效管理要求，天津市残疾人联合会已对52个2025年度市级项目开展绩效自评，涉及金额116274116.4元，自评结果已随部门决算一并公开。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本部门2025年度已对10个项目开展部门评价，涉及金额25293000元。</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天津市残疾人联合会不属于乡、镇、街级单位，不涉及公开2025年度教育、医疗卫生、社会保障和就业、住房保障、涉农补贴等民生支出情况。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88C77511-C777-4B16-BC62-380275BDB54D}"/>
    <w:embedBold r:id="rId2" w:subsetted="1" w:fontKey="{999C1DC7-C059-47D6-B588-1C93C774A2DB}"/>
  </w:font>
  <w:font w:name="Cambria">
    <w:panose1 w:val="02040503050406030204"/>
    <w:charset w:val="00"/>
    <w:family w:val="roman"/>
    <w:pitch w:val="default"/>
    <w:sig w:usb0="E00006FF" w:usb1="420024FF" w:usb2="02000000" w:usb3="00000000" w:csb0="2000019F" w:csb1="00000000"/>
    <w:embedRegular r:id="rId3" w:fontKey="{1DD2EEC2-B7F7-4962-9773-EFA553D9200F}"/>
  </w:font>
  <w:font w:name="Calibri">
    <w:panose1 w:val="020F0502020204030204"/>
    <w:charset w:val="00"/>
    <w:family w:val="swiss"/>
    <w:pitch w:val="default"/>
    <w:sig w:usb0="E4002EFF" w:usb1="C200247B" w:usb2="00000009" w:usb3="00000000" w:csb0="200001FF" w:csb1="00000000"/>
    <w:embedRegular r:id="rId4" w:fontKey="{3C9E542D-87EA-4E4D-B2F8-B6044C712A28}"/>
  </w:font>
  <w:font w:name="黑体">
    <w:panose1 w:val="02010609060101010101"/>
    <w:charset w:val="FFFFFF86"/>
    <w:family w:val="auto"/>
    <w:pitch w:val="default"/>
    <w:sig w:usb0="800002BF" w:usb1="38CF7CFA" w:usb2="00000016" w:usb3="00000000" w:csb0="00040001" w:csb1="00000000"/>
    <w:embedRegular r:id="rId5" w:subsetted="1" w:fontKey="{1BA80FCE-7E96-45D5-A4C1-6BC074C55ED1}"/>
    <w:embedBold r:id="rId6" w:subsetted="1" w:fontKey="{138DF11D-9EE4-4BFD-85A7-A90C3596F3F9}"/>
  </w:font>
  <w:font w:name="方正小标宋简体">
    <w:altName w:val="黑体"/>
    <w:panose1 w:val="02000000000000000000"/>
    <w:charset w:val="FFFFFF86"/>
    <w:family w:val="auto"/>
    <w:pitch w:val="default"/>
    <w:sig w:usb0="00000001" w:usb1="08000000" w:usb2="00000000" w:usb3="00000000" w:csb0="00040000" w:csb1="00000000"/>
    <w:embedRegular r:id="rId7" w:fontKey="{95F4A1AF-FF3C-4D4F-8B6F-B1C4F0F0CD32}"/>
    <w:embedBold r:id="rId8" w:fontKey="{6DDAB687-559E-4837-8306-CE417BE79461}"/>
  </w:font>
  <w:font w:name="仿宋">
    <w:panose1 w:val="02010609060101010101"/>
    <w:charset w:val="FFFFFF86"/>
    <w:family w:val="auto"/>
    <w:pitch w:val="default"/>
    <w:sig w:usb0="800002BF" w:usb1="38CF7CFA" w:usb2="00000016" w:usb3="00000000" w:csb0="00040001" w:csb1="00000000"/>
    <w:embedRegular r:id="rId9" w:subsetted="1" w:fontKey="{DD4F961E-F329-4843-A623-C288139C5857}"/>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4E9B98E2-E85C-439B-8F7A-09702A163150}"/>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BABFA252-B5C8-44FC-9C96-5A682556EE7B}"/>
    <w:embedBold r:id="rId12" w:subsetted="1" w:fontKey="{9AFE0719-2FA4-4160-9F44-3E72B10D44F5}"/>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22</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37</Pages>
  <Words>3265</Words>
  <Characters>18738</Characters>
  <Application>WPS Office_12.1.0.28043_F1E327BC-269C-435d-A152-05C5408002CA</Application>
  <DocSecurity>0</DocSecurity>
  <Lines>60</Lines>
  <Paragraphs>16</Paragraphs>
  <ScaleCrop>false</ScaleCrop>
  <Company>Microsoft</Company>
  <LinksUpToDate>false</LinksUpToDate>
  <CharactersWithSpaces>19174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2026-08-24T02:43:18Z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